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501A3279" w:rsidR="00D07C27" w:rsidRPr="007A66C2" w:rsidRDefault="00D101DC" w:rsidP="008246F4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bookmarkStart w:id="0" w:name="_GoBack"/>
      <w:bookmarkEnd w:id="0"/>
      <w:r w:rsidRPr="007A66C2">
        <w:rPr>
          <w:rFonts w:ascii="Arial" w:hAnsi="Arial" w:cs="Arial"/>
          <w:bCs/>
          <w:color w:val="1F4E79" w:themeColor="accent1" w:themeShade="80"/>
        </w:rPr>
        <w:t>بند جدول الأعمال رقم 9: صياغة البيان الرسمي</w:t>
      </w:r>
    </w:p>
    <w:p w14:paraId="4C084511" w14:textId="7F2FBCD2" w:rsidR="00F21D6A" w:rsidRPr="007A66C2" w:rsidRDefault="00D57B30" w:rsidP="007A66C2">
      <w:pPr>
        <w:pStyle w:val="Nagwek2"/>
      </w:pPr>
      <w:r w:rsidRPr="007A66C2">
        <w:rPr>
          <w:rtl/>
        </w:rPr>
        <w:t>القضايا</w:t>
      </w:r>
    </w:p>
    <w:p w14:paraId="12D6F863" w14:textId="1608E110" w:rsidR="00EC3C37" w:rsidRPr="007A66C2" w:rsidRDefault="00EE2665" w:rsidP="00EE2665">
      <w:pPr>
        <w:pStyle w:val="Tekstpodstawowy"/>
        <w:numPr>
          <w:ilvl w:val="0"/>
          <w:numId w:val="16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الغرض من بيان </w:t>
      </w:r>
      <w:r w:rsidRPr="007A66C2">
        <w:rPr>
          <w:rFonts w:ascii="Arial" w:hAnsi="Arial" w:cs="Arial"/>
          <w:rtl w:val="0"/>
        </w:rPr>
        <w:t>GAC</w:t>
      </w:r>
    </w:p>
    <w:p w14:paraId="46BB2F0D" w14:textId="6E197682" w:rsidR="00EE2665" w:rsidRPr="007A66C2" w:rsidRDefault="00EE2665" w:rsidP="00EE2665">
      <w:pPr>
        <w:pStyle w:val="Tekstpodstawowy"/>
        <w:numPr>
          <w:ilvl w:val="0"/>
          <w:numId w:val="16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>أمور يجب مراعاتها عند صياغة البيان.</w:t>
      </w:r>
    </w:p>
    <w:p w14:paraId="3D945637" w14:textId="6D3DDB0B" w:rsidR="00EE2665" w:rsidRPr="007A66C2" w:rsidRDefault="00EE2665" w:rsidP="007A66C2">
      <w:pPr>
        <w:pStyle w:val="Nagwek2"/>
      </w:pPr>
      <w:r w:rsidRPr="007A66C2">
        <w:rPr>
          <w:rtl/>
        </w:rPr>
        <w:t xml:space="preserve">الغرض من بيان </w:t>
      </w:r>
      <w:r w:rsidRPr="007A66C2">
        <w:t>GAC</w:t>
      </w:r>
    </w:p>
    <w:p w14:paraId="78A85D8A" w14:textId="31A94EC0" w:rsidR="00EE2665" w:rsidRPr="007A66C2" w:rsidRDefault="00EE2665" w:rsidP="00EE2665">
      <w:pPr>
        <w:pStyle w:val="Tekstpodstawowy"/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ينص مبدأ التشغيل 51 للجنة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على ما يلي: "بعد عقد أي اجتماع خاص، يجوز للرئيس إصدار بيان رسمي لوسائل الإعلام، على أن تتم موافقة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على هذا البيان الرسمي مسبقًا."</w:t>
      </w:r>
    </w:p>
    <w:p w14:paraId="473EEC99" w14:textId="48636D9F" w:rsidR="00EE2665" w:rsidRPr="007A66C2" w:rsidRDefault="00EE2665" w:rsidP="00EE2665">
      <w:pPr>
        <w:pStyle w:val="Tekstpodstawowy"/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لقد أصبح البيان عملياً هو الطريقة الرئيسية (لكن ليست الوحيدة) التي تقوم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بها بإبلاغ المشورة إلى مجلس الإدارة، بالإضافة إلى قيد أنشطة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الأخرى في السجل العام. ويتم نشره وإعلانه من قِبل </w:t>
      </w:r>
      <w:r w:rsidRPr="007A66C2">
        <w:rPr>
          <w:rFonts w:ascii="Arial" w:hAnsi="Arial" w:cs="Arial"/>
          <w:rtl w:val="0"/>
        </w:rPr>
        <w:t>ICANN</w:t>
      </w:r>
      <w:r w:rsidRPr="007A66C2">
        <w:rPr>
          <w:rFonts w:ascii="Arial" w:hAnsi="Arial" w:cs="Arial"/>
        </w:rPr>
        <w:t xml:space="preserve">، بعد موافقة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في جلسة (جلسات) الصياغة المذكورة.</w:t>
      </w:r>
    </w:p>
    <w:p w14:paraId="6F93F1D6" w14:textId="712DF891" w:rsidR="00EE2665" w:rsidRPr="007A66C2" w:rsidRDefault="00EE2665" w:rsidP="007A66C2">
      <w:pPr>
        <w:pStyle w:val="Nagwek2"/>
      </w:pPr>
      <w:r w:rsidRPr="007A66C2">
        <w:rPr>
          <w:rtl/>
        </w:rPr>
        <w:t>ما يجب مراعاته عند صياغة البيان</w:t>
      </w:r>
    </w:p>
    <w:p w14:paraId="7EBC41E3" w14:textId="495E2B30" w:rsidR="00EE2665" w:rsidRPr="007A66C2" w:rsidRDefault="00D17FF3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تعمل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على أساس التوافق في الآراء، وبالتالي فإنها تتطلب عادةً توافقاً في الآراء على النص الكامل للبيان الرسمي.</w:t>
      </w:r>
    </w:p>
    <w:p w14:paraId="6725128B" w14:textId="77777777" w:rsidR="00D17FF3" w:rsidRPr="007A66C2" w:rsidRDefault="00D17FF3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إن لوائح </w:t>
      </w:r>
      <w:r w:rsidRPr="007A66C2">
        <w:rPr>
          <w:rFonts w:ascii="Arial" w:hAnsi="Arial" w:cs="Arial"/>
          <w:rtl w:val="0"/>
        </w:rPr>
        <w:t>ICANN</w:t>
      </w:r>
      <w:r w:rsidRPr="007A66C2">
        <w:rPr>
          <w:rFonts w:ascii="Arial" w:hAnsi="Arial" w:cs="Arial"/>
        </w:rPr>
        <w:t xml:space="preserve"> التي تتناول "مشورة التوافق في الآراء للجنة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" وثيقة الصلة فقط بأجزاء البيان التي حددتها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على أنها مشورة توافق في الآراء.</w:t>
      </w:r>
    </w:p>
    <w:p w14:paraId="463DBBE5" w14:textId="0C1DCB7E" w:rsidR="00D17FF3" w:rsidRPr="007A66C2" w:rsidRDefault="00D17FF3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وتعتبر تلك الأجزاء من البيان الذي يتناول مسائل غير مشورة التوافق في الآراء عادةً بيانات لآراء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التي ترغب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في قيدها في السجل العام. ولقد اعتمدت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مؤخرا ممارسة إدراج قسم بشأن "متابعة المشورة السابقة"، والذي تتوقع فيه أن رداً من مجلس الإدارة.</w:t>
      </w:r>
    </w:p>
    <w:p w14:paraId="1135BC31" w14:textId="582D58C7" w:rsidR="00D17FF3" w:rsidRPr="007A66C2" w:rsidRDefault="00776376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وتشترط اللوائح أن تقدم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(واللجنة الاستشارية الأخرى) المشورة إلى مجلس الإدارة ليكون "على علم من خلال بيان مكتوب واضح لا لبس فيه، شاملا حيثيات هذه المشورة." (القسم 12.3)</w:t>
      </w:r>
    </w:p>
    <w:p w14:paraId="13541159" w14:textId="674C6E02" w:rsidR="00776376" w:rsidRPr="007A66C2" w:rsidRDefault="005B7B51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وكقاعدة عامة، لا ينبغي اقتراح مسودة النص أثناء جلسة الصياغة إذا لم تناقش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القضية مسبقاً.</w:t>
      </w:r>
    </w:p>
    <w:p w14:paraId="28B294F7" w14:textId="45F2E2C2" w:rsidR="003A1AB7" w:rsidRPr="007A66C2" w:rsidRDefault="00BC3F36" w:rsidP="00E15459">
      <w:pPr>
        <w:pStyle w:val="Tekstpodstawowy"/>
        <w:numPr>
          <w:ilvl w:val="0"/>
          <w:numId w:val="18"/>
        </w:numPr>
        <w:ind w:right="545"/>
        <w:rPr>
          <w:rFonts w:ascii="Arial" w:hAnsi="Arial" w:cs="Arial"/>
        </w:rPr>
      </w:pPr>
      <w:r w:rsidRPr="007A66C2">
        <w:rPr>
          <w:rFonts w:ascii="Arial" w:hAnsi="Arial" w:cs="Arial"/>
        </w:rPr>
        <w:t xml:space="preserve">وبالنسبة لهذا الاجتماع، سوف يكون للجنة </w:t>
      </w:r>
      <w:r w:rsidRPr="007A66C2">
        <w:rPr>
          <w:rFonts w:ascii="Arial" w:hAnsi="Arial" w:cs="Arial"/>
          <w:rtl w:val="0"/>
        </w:rPr>
        <w:t>GAC</w:t>
      </w:r>
      <w:r w:rsidRPr="007A66C2">
        <w:rPr>
          <w:rFonts w:ascii="Arial" w:hAnsi="Arial" w:cs="Arial"/>
        </w:rPr>
        <w:t xml:space="preserve"> القدرة على الاطلاع على إصدار </w:t>
      </w:r>
      <w:r w:rsidRPr="007A66C2">
        <w:rPr>
          <w:rFonts w:ascii="Arial" w:hAnsi="Arial" w:cs="Arial"/>
          <w:rtl w:val="0"/>
        </w:rPr>
        <w:t>Google Docs</w:t>
      </w:r>
      <w:r w:rsidRPr="007A66C2">
        <w:rPr>
          <w:rFonts w:ascii="Arial" w:hAnsi="Arial" w:cs="Arial"/>
        </w:rPr>
        <w:t xml:space="preserve"> لمسودة البيان الختامي وهو ما يمكنهم تحريره ثم مراجعته في الجلسة العمومية.</w:t>
      </w:r>
    </w:p>
    <w:p w14:paraId="1D48DB79" w14:textId="77777777" w:rsidR="00E15459" w:rsidRPr="007A66C2" w:rsidRDefault="00E15459" w:rsidP="007A66C2">
      <w:pPr>
        <w:pStyle w:val="Nagwek2"/>
      </w:pPr>
      <w:bookmarkStart w:id="1" w:name="_Hlk484433727"/>
    </w:p>
    <w:p w14:paraId="0A190E78" w14:textId="636B0FC5" w:rsidR="00E15459" w:rsidRPr="007A66C2" w:rsidRDefault="00E15459" w:rsidP="007A66C2">
      <w:pPr>
        <w:pStyle w:val="Nagwek2"/>
      </w:pPr>
      <w:r w:rsidRPr="007A66C2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7A66C2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7A66C2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617EDD3A" w14:textId="0176AFB0" w:rsidR="00E15459" w:rsidRPr="007A66C2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sz w:val="20"/>
                <w:szCs w:val="20"/>
              </w:rPr>
              <w:t>صياغة البيان الرسمي</w:t>
            </w:r>
          </w:p>
        </w:tc>
      </w:tr>
      <w:tr w:rsidR="00E15459" w:rsidRPr="007A66C2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7A66C2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7A66C2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7A66C2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E15459" w:rsidRPr="007A66C2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7A66C2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70A6D6" w14:textId="4B707C06" w:rsidR="00E15459" w:rsidRPr="007A66C2" w:rsidRDefault="00D101DC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7A66C2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33DD9A1F" w14:textId="0FB73C68" w:rsidR="005B7B51" w:rsidRPr="007A66C2" w:rsidRDefault="005B7B51" w:rsidP="00E15459">
      <w:pPr>
        <w:pStyle w:val="Tekstpodstawowy"/>
        <w:ind w:right="545"/>
        <w:rPr>
          <w:rFonts w:ascii="Arial" w:hAnsi="Arial" w:cs="Arial"/>
        </w:rPr>
      </w:pPr>
    </w:p>
    <w:sectPr w:rsidR="005B7B51" w:rsidRPr="007A66C2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8AD6" w14:textId="77777777" w:rsidR="00F24157" w:rsidRDefault="00F24157" w:rsidP="00A24449">
      <w:r>
        <w:separator/>
      </w:r>
    </w:p>
  </w:endnote>
  <w:endnote w:type="continuationSeparator" w:id="0">
    <w:p w14:paraId="21E15F60" w14:textId="77777777" w:rsidR="00F24157" w:rsidRDefault="00F2415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Pr="007A66C2" w:rsidRDefault="00776376" w:rsidP="002276FD">
    <w:pPr>
      <w:pStyle w:val="Stopka"/>
      <w:ind w:left="-567" w:right="261"/>
      <w:rPr>
        <w:rFonts w:ascii="Arial" w:hAnsi="Arial" w:cs="Arial"/>
      </w:rPr>
    </w:pPr>
  </w:p>
  <w:p w14:paraId="1F6A8333" w14:textId="55405395" w:rsidR="00776376" w:rsidRPr="007A66C2" w:rsidRDefault="00776376" w:rsidP="00E15459">
    <w:pPr>
      <w:pBdr>
        <w:top w:val="single" w:sz="18" w:space="1" w:color="1F497D"/>
      </w:pBdr>
      <w:spacing w:before="240"/>
      <w:ind w:right="545"/>
      <w:rPr>
        <w:rFonts w:ascii="Arial" w:hAnsi="Arial" w:cs="Arial"/>
        <w:color w:val="00408E"/>
      </w:rPr>
    </w:pPr>
    <w:r w:rsidRPr="007A66C2">
      <w:rPr>
        <w:rFonts w:ascii="Arial" w:hAnsi="Arial" w:cs="Arial"/>
        <w:color w:val="00408E"/>
        <w:sz w:val="16"/>
        <w:szCs w:val="16"/>
      </w:rPr>
      <w:t xml:space="preserve">       </w:t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  <w:color w:val="00408E"/>
        <w:sz w:val="16"/>
        <w:szCs w:val="16"/>
      </w:rPr>
      <w:t xml:space="preserve">      </w:t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  <w:color w:val="00408E"/>
        <w:sz w:val="16"/>
        <w:szCs w:val="16"/>
      </w:rPr>
      <w:t xml:space="preserve">                </w:t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</w:rPr>
      <w:tab/>
    </w:r>
    <w:r w:rsidRPr="007A66C2">
      <w:rPr>
        <w:rFonts w:ascii="Arial" w:hAnsi="Arial" w:cs="Arial"/>
        <w:color w:val="00408E"/>
        <w:sz w:val="16"/>
        <w:szCs w:val="16"/>
      </w:rPr>
      <w:t xml:space="preserve"> صفحة </w:t>
    </w:r>
    <w:r w:rsidRPr="007A66C2">
      <w:rPr>
        <w:rFonts w:ascii="Arial" w:hAnsi="Arial" w:cs="Arial"/>
        <w:color w:val="00408E"/>
        <w:sz w:val="16"/>
        <w:szCs w:val="16"/>
      </w:rPr>
      <w:fldChar w:fldCharType="begin"/>
    </w:r>
    <w:r w:rsidRPr="007A66C2">
      <w:rPr>
        <w:rFonts w:ascii="Arial" w:hAnsi="Arial" w:cs="Arial"/>
        <w:color w:val="00408E"/>
        <w:sz w:val="16"/>
        <w:szCs w:val="16"/>
      </w:rPr>
      <w:instrText xml:space="preserve"> PAGE </w:instrText>
    </w:r>
    <w:r w:rsidRPr="007A66C2">
      <w:rPr>
        <w:rFonts w:ascii="Arial" w:hAnsi="Arial" w:cs="Arial"/>
        <w:color w:val="00408E"/>
        <w:sz w:val="16"/>
        <w:szCs w:val="16"/>
      </w:rPr>
      <w:fldChar w:fldCharType="separate"/>
    </w:r>
    <w:r w:rsidR="000B2DAF">
      <w:rPr>
        <w:rFonts w:ascii="Arial" w:hAnsi="Arial" w:cs="Arial"/>
        <w:noProof/>
        <w:color w:val="00408E"/>
        <w:sz w:val="16"/>
        <w:szCs w:val="16"/>
      </w:rPr>
      <w:t>1</w:t>
    </w:r>
    <w:r w:rsidRPr="007A66C2">
      <w:rPr>
        <w:rFonts w:ascii="Arial" w:hAnsi="Arial" w:cs="Arial"/>
        <w:color w:val="00408E"/>
        <w:sz w:val="16"/>
        <w:szCs w:val="16"/>
      </w:rPr>
      <w:fldChar w:fldCharType="end"/>
    </w:r>
    <w:r w:rsidRPr="007A66C2">
      <w:rPr>
        <w:rFonts w:ascii="Arial" w:hAnsi="Arial" w:cs="Arial"/>
        <w:color w:val="00408E"/>
        <w:sz w:val="16"/>
        <w:szCs w:val="16"/>
      </w:rPr>
      <w:t xml:space="preserve"> من </w:t>
    </w:r>
    <w:r w:rsidRPr="007A66C2">
      <w:rPr>
        <w:rFonts w:ascii="Arial" w:hAnsi="Arial" w:cs="Arial"/>
        <w:color w:val="00408E"/>
        <w:sz w:val="16"/>
        <w:szCs w:val="16"/>
      </w:rPr>
      <w:fldChar w:fldCharType="begin"/>
    </w:r>
    <w:r w:rsidRPr="007A66C2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Pr="007A66C2">
      <w:rPr>
        <w:rFonts w:ascii="Arial" w:hAnsi="Arial" w:cs="Arial"/>
        <w:color w:val="00408E"/>
        <w:sz w:val="16"/>
        <w:szCs w:val="16"/>
      </w:rPr>
      <w:fldChar w:fldCharType="separate"/>
    </w:r>
    <w:r w:rsidR="000B2DAF">
      <w:rPr>
        <w:rFonts w:ascii="Arial" w:hAnsi="Arial" w:cs="Arial"/>
        <w:noProof/>
        <w:color w:val="00408E"/>
        <w:sz w:val="16"/>
        <w:szCs w:val="16"/>
      </w:rPr>
      <w:t>1</w:t>
    </w:r>
    <w:r w:rsidRPr="007A66C2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776376" w:rsidRPr="007A66C2" w:rsidRDefault="00776376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5B91" w14:textId="77777777" w:rsidR="00F24157" w:rsidRDefault="00F24157" w:rsidP="00A24449">
      <w:r>
        <w:separator/>
      </w:r>
    </w:p>
  </w:footnote>
  <w:footnote w:type="continuationSeparator" w:id="0">
    <w:p w14:paraId="348DBF18" w14:textId="77777777" w:rsidR="00F24157" w:rsidRDefault="00F24157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776376" w:rsidRDefault="00776376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7A66C2" w:rsidRDefault="00776376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7A66C2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776376" w:rsidRPr="007A66C2" w:rsidRDefault="00776376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7A66C2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FFDC5584"/>
    <w:lvl w:ilvl="0" w:tplc="E54EA6C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427F7"/>
    <w:rsid w:val="00083BC8"/>
    <w:rsid w:val="000964B7"/>
    <w:rsid w:val="000966BB"/>
    <w:rsid w:val="000B2DAF"/>
    <w:rsid w:val="000B4BF2"/>
    <w:rsid w:val="000C0FD7"/>
    <w:rsid w:val="000C5167"/>
    <w:rsid w:val="000C6B2E"/>
    <w:rsid w:val="00121728"/>
    <w:rsid w:val="00130A75"/>
    <w:rsid w:val="001577F4"/>
    <w:rsid w:val="0016195D"/>
    <w:rsid w:val="001B337F"/>
    <w:rsid w:val="002110FA"/>
    <w:rsid w:val="002276FD"/>
    <w:rsid w:val="00250279"/>
    <w:rsid w:val="0025104A"/>
    <w:rsid w:val="00262ACB"/>
    <w:rsid w:val="00273354"/>
    <w:rsid w:val="002A3393"/>
    <w:rsid w:val="002B76B7"/>
    <w:rsid w:val="002F7386"/>
    <w:rsid w:val="00327A1A"/>
    <w:rsid w:val="003308BB"/>
    <w:rsid w:val="003401B4"/>
    <w:rsid w:val="00355523"/>
    <w:rsid w:val="003643C4"/>
    <w:rsid w:val="003644DC"/>
    <w:rsid w:val="00364F2E"/>
    <w:rsid w:val="003961C1"/>
    <w:rsid w:val="003A1AB7"/>
    <w:rsid w:val="003A610B"/>
    <w:rsid w:val="003D7A8D"/>
    <w:rsid w:val="00400344"/>
    <w:rsid w:val="004052F8"/>
    <w:rsid w:val="00406CEE"/>
    <w:rsid w:val="00412A64"/>
    <w:rsid w:val="00412F34"/>
    <w:rsid w:val="00416093"/>
    <w:rsid w:val="004256A5"/>
    <w:rsid w:val="00454CBD"/>
    <w:rsid w:val="00481C07"/>
    <w:rsid w:val="00482610"/>
    <w:rsid w:val="004837E2"/>
    <w:rsid w:val="00492E56"/>
    <w:rsid w:val="004A58B8"/>
    <w:rsid w:val="004D747F"/>
    <w:rsid w:val="004E22C7"/>
    <w:rsid w:val="004E2498"/>
    <w:rsid w:val="004E28DA"/>
    <w:rsid w:val="00505EBE"/>
    <w:rsid w:val="0051347B"/>
    <w:rsid w:val="00577F86"/>
    <w:rsid w:val="00580A87"/>
    <w:rsid w:val="005B7B51"/>
    <w:rsid w:val="005C6723"/>
    <w:rsid w:val="005E2917"/>
    <w:rsid w:val="00624AEC"/>
    <w:rsid w:val="00652018"/>
    <w:rsid w:val="006735F6"/>
    <w:rsid w:val="0067792E"/>
    <w:rsid w:val="00683C6C"/>
    <w:rsid w:val="00700CF9"/>
    <w:rsid w:val="00722431"/>
    <w:rsid w:val="0072423D"/>
    <w:rsid w:val="00731C3E"/>
    <w:rsid w:val="00740F60"/>
    <w:rsid w:val="007670C2"/>
    <w:rsid w:val="00776376"/>
    <w:rsid w:val="007A174E"/>
    <w:rsid w:val="007A66C2"/>
    <w:rsid w:val="007D32B7"/>
    <w:rsid w:val="007F5CD3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C3F36"/>
    <w:rsid w:val="00BE60A1"/>
    <w:rsid w:val="00C04226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01DC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E781A"/>
    <w:rsid w:val="00DF0C5D"/>
    <w:rsid w:val="00DF5B00"/>
    <w:rsid w:val="00E016F8"/>
    <w:rsid w:val="00E15459"/>
    <w:rsid w:val="00E248DA"/>
    <w:rsid w:val="00E3060B"/>
    <w:rsid w:val="00E57BDD"/>
    <w:rsid w:val="00E7196B"/>
    <w:rsid w:val="00E9134A"/>
    <w:rsid w:val="00EA3A02"/>
    <w:rsid w:val="00EC3C37"/>
    <w:rsid w:val="00EE2665"/>
    <w:rsid w:val="00F21D6A"/>
    <w:rsid w:val="00F24157"/>
    <w:rsid w:val="00F42A85"/>
    <w:rsid w:val="00F4462E"/>
    <w:rsid w:val="00F46F4F"/>
    <w:rsid w:val="00F96D2C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7A66C2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66C2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1858-07EC-444A-867E-A9764C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1583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7</cp:revision>
  <cp:lastPrinted>2018-06-21T09:32:00Z</cp:lastPrinted>
  <dcterms:created xsi:type="dcterms:W3CDTF">2018-06-13T08:58:00Z</dcterms:created>
  <dcterms:modified xsi:type="dcterms:W3CDTF">2018-06-21T09:32:00Z</dcterms:modified>
</cp:coreProperties>
</file>